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3E" w:rsidRDefault="00EF3D3E" w:rsidP="00EF3D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EF3D3E" w:rsidRDefault="00EF3D3E" w:rsidP="00EF3D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8 septembre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"http://curia.europa.eu/juris/document/document.jsf?text=&amp;docid=109244&amp;pageIndex=0&amp;doclang=FR&amp;mode=lst&amp;dir=&amp;occ=first&amp;part=1&amp;cid=139013"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EF3D3E" w:rsidRDefault="00EF3D3E" w:rsidP="00EF3D3E">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Articles 2, paragraphe 2, et 6, paragraphe 1 – Charte des droits fondamentaux de l’Union européenne – Articles 21 et 28 – Convention collective relative à la rémunération des agents contractuels du secteur public d’un État membre – Rémunération fixée en fonction de l’âge – Convention collective supprimant la fixation de la rémunération en fonction de l’âge – Maintien des droits acquis»</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affaires jointes C</w:t>
      </w:r>
      <w:r>
        <w:rPr>
          <w:rFonts w:ascii="Verdana" w:hAnsi="Verdana"/>
          <w:color w:val="333333"/>
          <w:sz w:val="18"/>
          <w:szCs w:val="18"/>
        </w:rPr>
        <w:noBreakHyphen/>
        <w:t>297/10 et C</w:t>
      </w:r>
      <w:r>
        <w:rPr>
          <w:rFonts w:ascii="Verdana" w:hAnsi="Verdana"/>
          <w:color w:val="333333"/>
          <w:sz w:val="18"/>
          <w:szCs w:val="18"/>
        </w:rPr>
        <w:noBreakHyphen/>
        <w:t>298/10,</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des demandes de décision préjudicielle au titre de l’article 267 TFUE, introduites par le Bundesarbeitsgericht (Allemagne), par décisions du 20 mai 2010, parvenues à la Cour le 16 juin 2010, dans les procédures</w:t>
      </w:r>
    </w:p>
    <w:p w:rsidR="00EF3D3E" w:rsidRP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EF3D3E">
        <w:rPr>
          <w:rFonts w:ascii="Verdana" w:hAnsi="Verdana"/>
          <w:b/>
          <w:bCs/>
          <w:color w:val="333333"/>
          <w:sz w:val="18"/>
          <w:szCs w:val="18"/>
          <w:lang w:val="nl-BE"/>
        </w:rPr>
        <w:t>Sabine Hennigs</w:t>
      </w:r>
      <w:r w:rsidRPr="00EF3D3E">
        <w:rPr>
          <w:rStyle w:val="apple-converted-space"/>
          <w:rFonts w:ascii="Verdana" w:hAnsi="Verdana"/>
          <w:color w:val="333333"/>
          <w:sz w:val="18"/>
          <w:szCs w:val="18"/>
          <w:lang w:val="nl-BE"/>
        </w:rPr>
        <w:t> </w:t>
      </w:r>
      <w:r w:rsidRPr="00EF3D3E">
        <w:rPr>
          <w:rFonts w:ascii="Verdana" w:hAnsi="Verdana"/>
          <w:color w:val="333333"/>
          <w:sz w:val="18"/>
          <w:szCs w:val="18"/>
          <w:lang w:val="nl-BE"/>
        </w:rPr>
        <w:t>(C-297/10)</w:t>
      </w:r>
    </w:p>
    <w:p w:rsidR="00EF3D3E" w:rsidRP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EF3D3E">
        <w:rPr>
          <w:rFonts w:ascii="Verdana" w:hAnsi="Verdana"/>
          <w:color w:val="333333"/>
          <w:sz w:val="18"/>
          <w:szCs w:val="18"/>
          <w:lang w:val="nl-BE"/>
        </w:rPr>
        <w:t>contre</w:t>
      </w:r>
    </w:p>
    <w:p w:rsidR="00EF3D3E" w:rsidRP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EF3D3E">
        <w:rPr>
          <w:rFonts w:ascii="Verdana" w:hAnsi="Verdana"/>
          <w:b/>
          <w:bCs/>
          <w:color w:val="333333"/>
          <w:sz w:val="18"/>
          <w:szCs w:val="18"/>
          <w:lang w:val="nl-BE"/>
        </w:rPr>
        <w:t>Eisenbahn-Bundesamt,</w:t>
      </w:r>
    </w:p>
    <w:p w:rsidR="00EF3D3E" w:rsidRDefault="00EF3D3E" w:rsidP="00EF3D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et</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Land Berlin</w:t>
      </w:r>
      <w:r>
        <w:rPr>
          <w:rStyle w:val="apple-converted-space"/>
          <w:rFonts w:ascii="Verdana" w:hAnsi="Verdana"/>
          <w:color w:val="333333"/>
          <w:sz w:val="18"/>
          <w:szCs w:val="18"/>
        </w:rPr>
        <w:t> </w:t>
      </w:r>
      <w:r>
        <w:rPr>
          <w:rFonts w:ascii="Verdana" w:hAnsi="Verdana"/>
          <w:color w:val="333333"/>
          <w:sz w:val="18"/>
          <w:szCs w:val="18"/>
        </w:rPr>
        <w:t>(C-298/10)</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Alexander Mai,</w:t>
      </w:r>
    </w:p>
    <w:p w:rsidR="00EF3D3E" w:rsidRDefault="00EF3D3E" w:rsidP="00EF3D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J. N. Cunha Rodrigues, président de chambre, MM. A. Arabadjiev, A. Rosas, A. Ó Caoimh et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P. Lindh (rapporteur), juges.</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A. Impellizzeri, administrateur,</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26 mai 2011,</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Hennigs, par M</w:t>
      </w:r>
      <w:r>
        <w:rPr>
          <w:rFonts w:ascii="Verdana" w:hAnsi="Verdana"/>
          <w:color w:val="333333"/>
          <w:sz w:val="18"/>
          <w:szCs w:val="18"/>
          <w:vertAlign w:val="superscript"/>
        </w:rPr>
        <w:t>es</w:t>
      </w:r>
      <w:r>
        <w:rPr>
          <w:rStyle w:val="apple-converted-space"/>
          <w:rFonts w:ascii="Verdana" w:hAnsi="Verdana"/>
          <w:color w:val="333333"/>
          <w:sz w:val="18"/>
          <w:szCs w:val="18"/>
        </w:rPr>
        <w:t> </w:t>
      </w:r>
      <w:r>
        <w:rPr>
          <w:rFonts w:ascii="Verdana" w:hAnsi="Verdana"/>
          <w:color w:val="333333"/>
          <w:sz w:val="18"/>
          <w:szCs w:val="18"/>
        </w:rPr>
        <w:t>M. Peiseler et A. Seulen, Rechtsanwälte,</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Mai,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H.-W. Behm, Rechtsanwalt,</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Land Berlin,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J. Zeisberg, Rechtsanwalt,</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et J. Möller, en qualité d’agents,</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M. Jacobs et C. Pochet, en qualité d’agents,</w:t>
      </w:r>
    </w:p>
    <w:p w:rsidR="00EF3D3E" w:rsidRDefault="00EF3D3E" w:rsidP="00EF3D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V. Kreuschitz et J. Enegren, en qualité d’agents,</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décision prise, l’avocat général entendu, de juger l’affaire sans conclusions,</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rend le présent</w:t>
      </w:r>
    </w:p>
    <w:p w:rsidR="00EF3D3E" w:rsidRDefault="00EF3D3E" w:rsidP="00EF3D3E">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Les demandes de décision préjudicielle portent sur l’interprétation des articles 21 et 28 de la charte des droits fondamentaux de l’Union européenne (ci-après la «charte») ainsi que du principe de non-discrimination en fonction de l’âge et de la directive 2000/78/CE du Conseil, du 27 novembre 2000, portant création d’un cadre général en faveur de l’égalité de traitement en matière d’emploi et de travail (JO L 303, p. 16).</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Ces demandes ont été présentées dans le cadre de litiges opposant deux agents contractuels du secteur public,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Hennigs et M. Mai, à leurs employeurs respectifs l’Eisenbahn Bundesamt et le Land Berlin au sujet de la fixation du montant de leurs rémunérations.</w:t>
      </w:r>
    </w:p>
    <w:p w:rsidR="00EF3D3E" w:rsidRDefault="00EF3D3E" w:rsidP="00EF3D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Les neuvième, onzième, vingt-cinquième et trente-sixième considérants de la directive 2000/78 énoncent: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L’emploi et le travail constituent des éléments essentiels pour garantir l’égalité des chances pour tous et contribuent dans une large mesure à la pleine participation des citoyens à la vie économique, culturelle et sociale, ainsi qu’à l’épanouissement personnel.</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(36)      Les États membres peuvent confier aux partenaires sociaux, à leur demande conjointe, la mise en œuvre de la présente directive, pour ce qui est des dispositions relevant de conventions collectives, à condition de prendre toute disposition nécessaire leur permettant d’être à tout moment en mesure de garantir les résultats imposés par la présente directive.»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lastRenderedPageBreak/>
        <w:t>5</w:t>
      </w:r>
      <w:bookmarkEnd w:id="5"/>
      <w:r>
        <w:rPr>
          <w:rFonts w:ascii="Verdana" w:hAnsi="Verdana"/>
          <w:color w:val="333333"/>
          <w:sz w:val="18"/>
          <w:szCs w:val="18"/>
        </w:rPr>
        <w:t>        L’article 2 de cette directive énonce: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EF3D3E" w:rsidRDefault="00EF3D3E" w:rsidP="00EF3D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cette disposition, ce critère ou cette pratique ne soit objectivement justifié par un objectif légitime et que les moyens de réaliser cet objectif ne soient appropriés et nécessaires [...]»</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Selon l’article 3, paragraphe 1, sous c), de ladite directive, celle-ci s’applique à toutes les personnes, tant pour le secteur public que pour le secteur privé, y compris les organismes publics en ce qui concerne, notamment, les conditions d’emploi et de travail, y compris les conditions de rémunération.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6 de la même directive est ainsi libellé:</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16 de la directive 2000/78 énonce: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prennent les mesures nécessaires afin que: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soient ou puissent être déclarées nulles et non avenues ou soient modifiées les dispositions contraires au principe de l’égalité de traitement qui figurent dans les contrats ou les conventions collectives [...]»</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18 de la directive 2000/78 précise: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«Les États membres [...] peuvent confier aux partenaires sociaux, à leur demande conjointe, la mise en œuvre de la présente directive pour ce qui est des dispositions relevant des accords </w:t>
      </w:r>
      <w:r>
        <w:rPr>
          <w:rFonts w:ascii="Verdana" w:hAnsi="Verdana"/>
          <w:color w:val="333333"/>
          <w:sz w:val="18"/>
          <w:szCs w:val="18"/>
        </w:rPr>
        <w:lastRenderedPageBreak/>
        <w:t>collectifs. Dans ce cas, ils s’assurent que, au plus tard le 2 décembre 2003, les partenaires sociaux ont mis en place les dispositions nécessaires par voie d’accord, les États membres concernés devant prendre toute disposition nécessaire leur permettant d’être à tout moment en mesure de garantir les résultats imposés par ladite directive. [...]</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peuvent disposer, si nécessaire, d’un délai supplémentaire de 3 ans à compter du 2 décembre 2003, soit un total de 6 ans, pour mettre en œuvre les dispositions de la présente directive relatives à la discrimination fondée sur l’âge et [le] handicap. Dans ce cas, ils en informent immédiatement la Commission. [...]»</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 République fédérale d’Allemagne a fait usage de cette faculté, de sorte que la transposition des dispositions de cette directive relatives à la discrimination fondée sur l’âge et le handicap devait intervenir dans cet État membre au plus tard le 2 décembre 2006.</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EF3D3E" w:rsidRDefault="00EF3D3E" w:rsidP="00EF3D3E">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fédérale relative à l’égalité de traitement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loi générale sur l’égalité de traitement (Allgemeines Gleichbehandlungsgesetz), du 14 août 2006 (BGBl. 2006 I, p. 1897, ci-après l’«AGG»), a transposé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10 de l’AGG, intitulé «Licéité de certaines différences de traitement fondées sur l’âge», énonce: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8, une différence de traitement en raison de l’âge est également autorisée lorsqu’elle est objectivement et raisonnablement justifiée et qu’elle est fondée sur un objectif légitime. Les moyens mis en œuvre pour réaliser cet objectif doivent être appropriés et nécessaires. Ces différences de traitement peuvent notamment comprendre: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fixation de conditions minimales d’âge, d’expérience professionnelle ou d’ancienneté dans l’emploi, pour l’accès à l’emploi ou à certains avantages liés à l’emploi.</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Les conventions collectives applicables aux agents contractuels du secteur public</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Selon la juridiction de renvoi, le niveau des rémunérations des agents contractuels du secteur public est déterminé par les partenaires sociaux par voie de conventions collectives.</w:t>
      </w:r>
    </w:p>
    <w:p w:rsidR="00EF3D3E" w:rsidRDefault="00EF3D3E" w:rsidP="00EF3D3E">
      <w:pPr>
        <w:pStyle w:val="c07titre4"/>
        <w:shd w:val="clear" w:color="auto" w:fill="FFFFFF"/>
        <w:spacing w:after="240" w:afterAutospacing="0"/>
        <w:ind w:left="567"/>
        <w:jc w:val="both"/>
        <w:rPr>
          <w:rFonts w:ascii="Verdana" w:hAnsi="Verdana"/>
          <w:color w:val="333333"/>
          <w:sz w:val="18"/>
          <w:szCs w:val="18"/>
        </w:rPr>
      </w:pPr>
      <w:r>
        <w:rPr>
          <w:rFonts w:ascii="Verdana" w:hAnsi="Verdana"/>
          <w:color w:val="333333"/>
          <w:sz w:val="18"/>
          <w:szCs w:val="18"/>
        </w:rPr>
        <w:t>–       Les conventions collectives applicables aux agents contractuels du Land Berlin (affaire C</w:t>
      </w:r>
      <w:r>
        <w:rPr>
          <w:rFonts w:ascii="Verdana" w:hAnsi="Verdana"/>
          <w:color w:val="333333"/>
          <w:sz w:val="18"/>
          <w:szCs w:val="18"/>
        </w:rPr>
        <w:noBreakHyphen/>
        <w:t>298/10)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À l’époque des faits au principal, les relations de travail des agents contractuels du Land Berlin étaient régies par la convention collective des agents contractuels du secteur public fédéral (Bundes-Angestelltentarifvertrag) du 23 février 1961 (ci-après le «BAT»). Cette convention collective avait été conclue pour les agents contractuels de l’État fédéral mais s’appliquait également aux agents contractuels des Länder et des communes.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 BAT avait été complété par la convention collective conclue en application du BAT n° 35, relative à la rémunération (Vergütungstarifvertrag Nr. 35 zum BAT).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27 du BAT est ainsi libellé:</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Employés relevant de l’annexe 1a</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1)      Dans la convention collective relative à la rémunération, les rémunérations de base doivent, pour chaque grade, être calculées par tranche d’âge. La rémunération de base correspondant à la première tranche d’âge (rémunération de base initiale) est due à compter du début du mois au cours duquel un agent des grades III à X atteint l’âge de 21 ans et un agent des grades I à IIb l’âge de 23 ans. Tous les deux ans, l’agent obtient la rémunération de base correspondant à la tranche d’âge suivante jusqu’à ce qu’il atteigne la rémunération de base correspondant à la dernière tranche d’âge (rémunération de base finale).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Lorsque le recrutement d’un agent des grades III à X intervient avant la fin du mois du 31</w:t>
      </w:r>
      <w:r>
        <w:rPr>
          <w:rFonts w:ascii="Verdana" w:hAnsi="Verdana"/>
          <w:color w:val="333333"/>
          <w:sz w:val="18"/>
          <w:szCs w:val="18"/>
          <w:vertAlign w:val="superscript"/>
        </w:rPr>
        <w:t>ème</w:t>
      </w:r>
      <w:r>
        <w:rPr>
          <w:rStyle w:val="apple-converted-space"/>
          <w:rFonts w:ascii="Verdana" w:hAnsi="Verdana"/>
          <w:color w:val="333333"/>
          <w:sz w:val="18"/>
          <w:szCs w:val="18"/>
        </w:rPr>
        <w:t> </w:t>
      </w:r>
      <w:r>
        <w:rPr>
          <w:rFonts w:ascii="Verdana" w:hAnsi="Verdana"/>
          <w:color w:val="333333"/>
          <w:sz w:val="18"/>
          <w:szCs w:val="18"/>
        </w:rPr>
        <w:t>anniversaire de cet agent, ce dernier obtient la rémunération de base correspondant à sa tranche d’âge. Lorsque l’agent est recruté à une date postérieure, il obtient la rémunération correspondant à la tranche d’âge calculée en déduisant de l’âge atteint à la date du recrutement la moitié des années écoulées depuis que l’agent a atteint l’âge de 31 ans. Chaque fois que l’âge de l’agent correspond à un nombre impair, l’agent obtient, à compter du début du mois de son anniversaire, la rémunération correspondant à la tranche d’âge suivante jusqu’à ce qu’il atteigne la rémunération de base finale. Les trois premières phrases sont applicables mutatis mutandis aux agents des grades I à IIb en remplaçant le nombre ‘31’ par ‘35’.</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En outre, l’article 27, C, du BAT prévoit que l’expérience professionnelle acquise avant le recrutement de l’agent peut, dans certaines conditions, être prise en compte pour classer ce dernier à un échelon supérieur à celui qui lui aurait normalement été attribué en raison de son âge.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 juridiction de renvoi précise, au sujet du BAT, que la rémunération de base est calculée par grade. Le grade X représente le grade inférieur et le grade I le grade supérieur. Le classement dans les grades I à IIa suppose, en principe, que l’agent dispose d’un diplôme universitaire. En ce qui concerne les tranches d’âge, il est précisé, à titre d’exemple, que, pour les grades I à Ib, la rémunération de base finale est atteinte au niveau de la tranche d’âge n° 47, c’est-à-dire lorsque l’agent atteint l’âge de 47 ans. Le BAT prévoit également que la rémunération de base est complétée par une prime dite «locale» qui tend à couvrir en partie les charges financières pesant sur l’agent et liées à son statut familial.</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Selon la juridiction de renvoi, l’annexe 1c de la convention collective conclue en application du BAT n° 35, relative à la rémunération, a fixé les rémunérations de base initiales et finales pour les agents des grades I à X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2004. Cette juridiction précise également que le BAT est resté en vigueur pour les agents contractuels du Land Berlin jusqu’au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2010.</w:t>
      </w:r>
    </w:p>
    <w:p w:rsidR="00EF3D3E" w:rsidRDefault="00EF3D3E" w:rsidP="00EF3D3E">
      <w:pPr>
        <w:pStyle w:val="c07titre4"/>
        <w:shd w:val="clear" w:color="auto" w:fill="FFFFFF"/>
        <w:spacing w:after="240" w:afterAutospacing="0"/>
        <w:ind w:left="567"/>
        <w:jc w:val="both"/>
        <w:rPr>
          <w:rFonts w:ascii="Verdana" w:hAnsi="Verdana"/>
          <w:color w:val="333333"/>
          <w:sz w:val="18"/>
          <w:szCs w:val="18"/>
        </w:rPr>
      </w:pPr>
      <w:r>
        <w:rPr>
          <w:rFonts w:ascii="Verdana" w:hAnsi="Verdana"/>
          <w:color w:val="333333"/>
          <w:sz w:val="18"/>
          <w:szCs w:val="18"/>
        </w:rPr>
        <w:t>–       Les conventions collectives applicables aux agents contractuels de l’État fédéral (affaire C</w:t>
      </w:r>
      <w:r>
        <w:rPr>
          <w:rFonts w:ascii="Verdana" w:hAnsi="Verdana"/>
          <w:color w:val="333333"/>
          <w:sz w:val="18"/>
          <w:szCs w:val="18"/>
        </w:rPr>
        <w:noBreakHyphen/>
        <w:t>297/10)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Les relations de travail des agents contractuels de l’État fédéral étaient régies par le BAT et la convention collective conclue en application du BAT n° 35, relative à la rémunération, jusqu’au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2005.</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À compter de cette date, le BAT et la convention collective conclue en application du BAT n° 35, relative à la rémunération, ont été remplacés, pour ce qui concerne les agents de l’État fédéral et ceux des communes, par la convention pour le secteur public (Tarifvertrag für den öffentlichen Dienst, ci-après le «TVöD»).</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Le TVöD ne prévoit plus de tranches d’âge ni de prime dite «locale». Le régime de rémunération unique repose sur des critères tels que l’activité exercée, l’expérience professionnelle et la performance. L’activité exercée détermine le grade. L’expérience professionnelle et la performance déterminent l’échelon.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xml:space="preserve">octobre 2005, les agents contractuels de l’État fédéral ont été reclassés selon le nouveau régime de rémunération prévu par le TVöD. Les détails de ce reclassement sont régis par la convention collective précisant les modalités de reclassement des agents </w:t>
      </w:r>
      <w:r>
        <w:rPr>
          <w:rFonts w:ascii="Verdana" w:hAnsi="Verdana"/>
          <w:color w:val="333333"/>
          <w:sz w:val="18"/>
          <w:szCs w:val="18"/>
        </w:rPr>
        <w:lastRenderedPageBreak/>
        <w:t>contractuels de l’État fédéral conformément au TVöD et portant dispositions transitoires (Tarifvertrag zur Überleitung der Beschäftigten des Bundes in den TVöD und zur Regelung des Übergangsrechts, ci-après le «TVÜ-Bund»).</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Le reclassement des agents contractuels relevant du champ d’application du BAT a eu lieu en deux temps.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Selon l’article 5 du TVÜ-Bund, dans un premier temps, une rémunération de référence a été calculée sur le fondement des rémunérations perçues au mois de septembre 2005. Selon la juridiction de renvoi, ce type de reclassement permettait à l’agent de bénéficier d’une rémunération équivalente à sa rémunération antérieure, de sorte que ses droits acquis étaient préservés.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En vertu de l’article 6 du TVÜ-Bund, pendant une période de deux ans, sur la base de la rémunération de référence, un échelon intermédiaire individuel a été attribué aux agents au sein du grade dans lequel ils avaient été classés.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2007, le reclassement définitif a été réalisé par le passage de l’échelon intermédiaire individuel à l’échelon normal immédiatement supérieur au sein du grade.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Après le reclassement définitif des agents, la rémunération de ces derniers évolue en fonction des critères fixés par le TVöD.</w:t>
      </w:r>
    </w:p>
    <w:p w:rsidR="00EF3D3E" w:rsidRDefault="00EF3D3E" w:rsidP="00EF3D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Les litiges au principal et les questions préjudicielles</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L’affaire C-298/10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M. Mai, né le 28 décembre 1967, a été employé en qualité d’agent contractuel du Land Berlin entre le 16 mars 1998 et le 31 mars 2009. Il exerçait les fonctions de gérant d’un établissement d’accueil de personnes dépendantes. À ce titre, il était classé dans le grade Ia du BAT et percevait une rémunération de base d’un montant brut mensuel de 3 336,09 euros. Le montant brut mensuel de la rémunération de base correspondant à la tranche d’âge n° 47, dans ce grade, était de 3 787,14 euros.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M. Mai a demandé à son employeur à être rémunéré en fonction de la tranche d’âge n° 47, alors qu’il n’avait pas atteint l’âge de 47 ans. Il considère, en effet, que l’échelonnement de la rémunération de base par tranches d’âge constitue une discrimination en fonction de l’âge qui préjudicie aux agents les plus jeunes. Il a engagé une action en justice pour obtenir du Land Berlin le versement de la rémunération correspondant à la tranche d’âge n° 47 dans le grade Ia du BAT, pour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septembre 2006 au 31 mars 2009.</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Dans le cadre de cette procédure, le Land Berlin a formé un recours en «Revision» devant le Bundesarbeitsgericht. Selon cette juridiction, M. Mai demande une rémunération qui n’est pas conforme aux dispositions du BAT. Sa demande ne pourrait être satisfaite que s’il était admis que le calcul par tranches d’âge des rémunérations de base constitue une discrimination fondée sur l’âge et qu’il est contraire à l’article 21 de la charte ainsi qu’à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La juridiction de renvoi rappelle que l’article 6, paragraphe 1, second alinéa, sous b), de la directive 2000/78 prévoit qu’une différence de traitement fondée sur l’âge peut être admise lorsqu’elle consiste, notamment, à fixer des conditions d’âge pour l’accès à certains avantages liés à l’emploi.</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Les tranches d’âge prévues par le BAT pourraient être considérées comme représentant une expérience professionnelle. Cependant, l’expérience professionnelle ne croîtrait pas toujours avec l’ancienneté. Parfois, elle diminuerait même. Dans ce cas, le critère tiré de l’âge ne traduirait pas, de manière générale, l’expérience professionnelle.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xml:space="preserve">      Le Bundesarbeitsgericht se demande si le fait que le BAT soit une convention collective négociée par les partenaires sociaux modifie l’approche de la problématique posée eu égard à </w:t>
      </w:r>
      <w:r>
        <w:rPr>
          <w:rFonts w:ascii="Verdana" w:hAnsi="Verdana"/>
          <w:color w:val="333333"/>
          <w:sz w:val="18"/>
          <w:szCs w:val="18"/>
        </w:rPr>
        <w:lastRenderedPageBreak/>
        <w:t>l’article 28 de la charte qui reconnaît le droit à la négociation collective et à la conclusion de conventions collectives.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C’est dans ces circonstances que le Bundesarbeitsgricht a décidé de surseoir à statuer et de poser à la Cour la question préjudicielle suivante:</w:t>
      </w:r>
    </w:p>
    <w:p w:rsidR="00EF3D3E" w:rsidRDefault="00EF3D3E" w:rsidP="00EF3D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 barème de rémunération dans une convention collective applicable aux agents contractuels du secteur public qui, tel l’article 27 du [BAT] lu en combinaison avec la convention collective conclue en application du BAT n° 35, relative à la rémunération, détermine en fonction de tranches d’âge les rémunérations de base pour chaque grade est-il contraire au principe de non-discrimination en fonction de l’âge consacré en droit primaire (désormais à l’article 21 de la charte [...]), tel qu’il a été concrétisé par la directive 2000/78, compte tenu également du droit de négocier des conventions collectives reconnu en droit primaire aux partenaires sociaux (désormais à l’article 28 de la charte [...])?»</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L’affaire C-297/10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Hennigs est employée en tant qu’ingénieur civil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février 2004 par l’Eisenbahn-Bundesamt, qui est une autorité fédérale.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Dans le cadre du BAT, l’intéressée était classée dans le grade IVa de l’annexe 1a. Âgée de 41 ans lors de son entrée en fonction, elle a été classée dans la tranche d’âge n° 35, en application des dispositions de l’article 27, A, paragraphe 2, du BAT.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Lors du passage du BAT au TVöD,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Hennigs a été reclassée sur la base d’une rémunération de référence d’un montant total de 3 185,33 euros calculée en fonction de la tranche d’âge n° 37. En conséquence de ce montant, elle a été classée au grade n° 11, à un échelon intermédiaire individuel situé entre les troisième et quatrième échelons.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2007, elle a été classée au quatrième échelon du grade n° 11, ce qui lui donnait droit à une rémunération brute mensuelle d’un montant de 3 200 euros.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Hennigs conteste non pas son grade mais son échelon de classement. Elle soutient que si elle avait été classée au cinquième échelon du grade n° 11, elle aurait perçu 435 euros brut de plus par mois. Elle a donc engagé une action en justice pour obtenir ce classement.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Elle soutient que le système des tranches d’âge prévu par le BAT constituait une discrimination en fonction de l’âge et que le TVöD perpétue cette discrimination.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Le Bundesarbeitsgericht, statuant sur un recours en «Revision» formé par M</w:t>
      </w:r>
      <w:r>
        <w:rPr>
          <w:rFonts w:ascii="Verdana" w:hAnsi="Verdana"/>
          <w:color w:val="333333"/>
          <w:sz w:val="18"/>
          <w:szCs w:val="18"/>
          <w:vertAlign w:val="superscript"/>
        </w:rPr>
        <w:t>me</w:t>
      </w:r>
      <w:r>
        <w:rPr>
          <w:rFonts w:ascii="Verdana" w:hAnsi="Verdana"/>
          <w:color w:val="333333"/>
          <w:sz w:val="18"/>
          <w:szCs w:val="18"/>
        </w:rPr>
        <w:t> Hennigs, fait observer qu’un classement de M</w:t>
      </w:r>
      <w:r>
        <w:rPr>
          <w:rFonts w:ascii="Verdana" w:hAnsi="Verdana"/>
          <w:color w:val="333333"/>
          <w:sz w:val="18"/>
          <w:szCs w:val="18"/>
          <w:vertAlign w:val="superscript"/>
        </w:rPr>
        <w:t>me</w:t>
      </w:r>
      <w:r>
        <w:rPr>
          <w:rFonts w:ascii="Verdana" w:hAnsi="Verdana"/>
          <w:color w:val="333333"/>
          <w:sz w:val="18"/>
          <w:szCs w:val="18"/>
        </w:rPr>
        <w:t> Hennigs, comme elle le soutient, au cinquième échelon du grade n° 11 supposerait que son reclassement n’ait pas été fondé sur la rémunération résultant de l’application du BAT. Cela ne serait possible que si le BAT, en tant qu’il prévoyait le calcul des rémunérations par tranches d’âge, était illégal en raison d’une violation du principe de non-discrimination en fonction de l’âge. À cet égard, le Bundesarbeitsgericht renvoie à l’affaire C</w:t>
      </w:r>
      <w:r>
        <w:rPr>
          <w:rFonts w:ascii="Verdana" w:hAnsi="Verdana"/>
          <w:color w:val="333333"/>
          <w:sz w:val="18"/>
          <w:szCs w:val="18"/>
        </w:rPr>
        <w:noBreakHyphen/>
        <w:t>298/10.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S’agissant du TVÜ-Bund, la juridiction de renvoi s’interroge sur la marge de manœuvre dont disposent les partenaires sociaux pour passer d’un régime conventionnel de rémunération fixé en fonction de l’âge à un régime fondé sur d’autres critères en reprenant, en partie, les éléments de rémunération antérieurs. Elle se demande également si le droit fondamental à la négociation collective devrait être pris en compte dans l’appréciation de la légitimité de l’objectif poursuivi. Dans l’hypothèse où les dispositions transitoires seraient contraires au principe de non-discrimination en fonction de l’âge, le Bundesarbeitsgericht se demande si les partenaires sociaux auraient dû mettre fin sans délai au régime discriminatoire prévu par le BAT ou s’ils pouvaient maintenir partiellement, à titre transitoire, certaines dispositions discriminatoires, afin de préserver temporairement les droits acquis des agents concernés et prévoir la disparition progressive de ces dispositions. Ces interrogations font l’objet des deuxième et troisième questions.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xml:space="preserve">      À cet égard, la juridiction de renvoi se demande si le caractère disproportionné des coûts que devrait supporter l’employeur en cas de suppression immédiate des causes de la discrimination </w:t>
      </w:r>
      <w:r>
        <w:rPr>
          <w:rFonts w:ascii="Verdana" w:hAnsi="Verdana"/>
          <w:color w:val="333333"/>
          <w:sz w:val="18"/>
          <w:szCs w:val="18"/>
        </w:rPr>
        <w:lastRenderedPageBreak/>
        <w:t>pouvait constituer une justification du maintien temporaire des dispositions discriminatoires. Ce point fait l’objet de la quatrième question.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Par la cinquième question, le Bundesarbeitsgericht s’interroge sur le délai dont disposeraient les partenaires sociaux pour mettre fin à un régime conventionnel discriminatoire, compte tenu du principe de protection de la confiance légitime que les agents ont mis dans le régime conventionnel existant.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C’est dans ces circonstances que le Bundesarbeitsgricht a décidé de surseoir à statuer et de poser à la Cour les questions préjudicielles suivantes dont la première est identique à celle posée dans l’affaire C</w:t>
      </w:r>
      <w:r>
        <w:rPr>
          <w:rFonts w:ascii="Verdana" w:hAnsi="Verdana"/>
          <w:color w:val="333333"/>
          <w:sz w:val="18"/>
          <w:szCs w:val="18"/>
        </w:rPr>
        <w:noBreakHyphen/>
        <w:t>298/10:</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Un barème de rémunération dans une convention collective applicable aux agents contractuels du secteur public qui, tel l’article 27 du [BAT] lu en combinaison avec la convention collective conclue en application du BAT n° 35, relative à la rémunération, détermine en fonction de tranches d’âge les rémunérations de base pour chaque grade est-il contraire au principe de non-discrimination en fonction de l’âge consacré en droit primaire (désormais à l’article 21 de la charte [...]), tel qu’il a été concrétisé par la directive 2000/78, compte tenu également du droit de négocier des conventions collectives reconnu en droit primaire aux partenaires sociaux (désormais à l’article 28 de la charte [...])?</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Si la Cour [...] ou le Bundesarbeitsgericht, sur la base des indications figurant dans l’arrêt de la Cour, répond par l’affirmative à la première question:</w:t>
      </w:r>
    </w:p>
    <w:p w:rsidR="00EF3D3E" w:rsidRDefault="00EF3D3E" w:rsidP="00EF3D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Le droit de négocier des conventions collectives confère-t-il aux partenaires sociaux une marge suffisante pour leur permettre de faire cesser une telle discrimination en faisant passer les agents contractuels sous un nouveau régime conventionnel de rémunération qui, tout en reprenant les droits acquis au titre de l’ancien régime conventionnel, se fonde sur les critères de l’activité exercée, la performance et l’expérience professionnelle?</w:t>
      </w:r>
    </w:p>
    <w:p w:rsidR="00EF3D3E" w:rsidRDefault="00EF3D3E" w:rsidP="00EF3D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Y a-t-il lieu de répondre en tout état de cause par l’affirmative à la deuxième question, sous a), à tout le moins lorsque la détermination définitive des échelons reconnus aux agents contractuels reclassés au sein d’un grade du nouveau régime conventionnel de rémunération ne dépend pas uniquement de la tranche d’âge atteinte dans le cadre de l’ancien régime conventionnel et que les agents ayant accédé à un échelon supérieur du nouveau régime disposent, en règle générale, d’une plus grande expérience professionnelle que celle des agents classés à un échelon inférieur?</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Si la Cour [...] ou le Bundesarbeitsgericht, sur la base des indications figurant dans l’arrêt de la Cour, répond par la négative à la deuxième question, sous a) et b):</w:t>
      </w:r>
    </w:p>
    <w:p w:rsidR="00EF3D3E" w:rsidRDefault="00EF3D3E" w:rsidP="00EF3D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La discrimination indirecte en fonction de l’âge est-elle justifiée parce que la préservation des acquis sociaux constitue un objectif légitime et qu’il apparaît approprié et nécessaire, en vue d’atteindre cet objectif, de maintenir temporairement, dans le cadre de dispositions transitoires, une inégalité de traitement entre employés d’âge différent, lorsque cette inégalité de traitement est peu à peu réduite et que, dans les faits, la seule autre solution envisageable serait de réduire la rémunération des employés plus âgés?</w:t>
      </w:r>
    </w:p>
    <w:p w:rsidR="00EF3D3E" w:rsidRDefault="00EF3D3E" w:rsidP="00EF3D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Compte tenu du droit de négocier des conventions collectives et de la liberté de négociation collective qui en résulte, y a-t-il lieu de répondre en tout état de cause par l’affirmative à la troisième question, sous a), à tout le moins lorsque de telles dispositions transitoires ont fait l’objet d’un accord entre les partenaires sociaux?</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Si la Cour [...] ou le Bundesarbeitsgericht, sur la base des indications figurant dans l’arrêt de la Cour, répond par la négative à la troisième question, sous a) et b):</w:t>
      </w:r>
    </w:p>
    <w:p w:rsidR="00EF3D3E" w:rsidRDefault="00EF3D3E" w:rsidP="00EF3D3E">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 xml:space="preserve">N’est-il possible de remédier à la violation du principe de non-discrimination en fonction de l’âge qui entache un régime conventionnel de rémunération et le rend illégal dans </w:t>
      </w:r>
      <w:r>
        <w:rPr>
          <w:rFonts w:ascii="Verdana" w:hAnsi="Verdana"/>
          <w:color w:val="333333"/>
          <w:sz w:val="18"/>
          <w:szCs w:val="18"/>
        </w:rPr>
        <w:lastRenderedPageBreak/>
        <w:t>son intégralité qu’en ne retenant toujours que la tranche d’âge la plus élevée lors de l’application de dispositions de conventions collectives relatives à la rémunération jusqu’à l’entrée en vigueur de nouvelles dispositions conformes au droit de l’Union, nonobstant les coûts supplémentaires qui en résultent pour les employeurs concernés et le droit des partenaires sociaux de négocier des conventions collectives?</w:t>
      </w:r>
    </w:p>
    <w:p w:rsidR="00EF3D3E" w:rsidRDefault="00EF3D3E" w:rsidP="00EF3D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Si la Cour [...] ou le Bundesarbeitsgericht, sur la base des indications figurant dans l’arrêt de la Cour, répond par la négative à la quatrième question:</w:t>
      </w:r>
    </w:p>
    <w:p w:rsidR="00EF3D3E" w:rsidRDefault="00EF3D3E" w:rsidP="00EF3D3E">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Compte tenu du droit de négocier des conventions collectives reconnu aux partenaires sociaux, le principe du droit de l’Union de non-discrimination en fonction de l’âge et la nécessité de sanctions effectives en cas de manquement à ce principe permettent-ils de fixer aux partenaires sociaux un délai relativement bref (par exemple de six mois) afin de faire cesser rétroactivement l’illégalité du régime de rémunération dont ils avaient convenu, tout en précisant qu’il conviendra de retenir la tranche d’âge la plus élevée lors de l’application de dispositions de conventions collectives, si les partenaires sociaux ne parviennent pas à adopter de nouvelles dispositions conformes au droit de l’Union dans le délai imparti. Le cas échéant, quelle marge temporelle, s’agissant de la rétroactivité desdites dispositions, pourrait-elle être reconnue dans ce cadre aux partenaires sociaux?»</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Par une ordonnance du 24 septembre 2010, le président de la Cour a ordonné la jonction des affaires C</w:t>
      </w:r>
      <w:r>
        <w:rPr>
          <w:rFonts w:ascii="Verdana" w:hAnsi="Verdana"/>
          <w:color w:val="333333"/>
          <w:sz w:val="18"/>
          <w:szCs w:val="18"/>
        </w:rPr>
        <w:noBreakHyphen/>
        <w:t>297/10 et C</w:t>
      </w:r>
      <w:r>
        <w:rPr>
          <w:rFonts w:ascii="Verdana" w:hAnsi="Verdana"/>
          <w:color w:val="333333"/>
          <w:sz w:val="18"/>
          <w:szCs w:val="18"/>
        </w:rPr>
        <w:noBreakHyphen/>
        <w:t>298/10 aux fins des procédures écrite et orale ainsi que de l’arrêt.</w:t>
      </w:r>
    </w:p>
    <w:p w:rsidR="00EF3D3E" w:rsidRDefault="00EF3D3E" w:rsidP="00EF3D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liminaires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Par ses questions préjudicielles, la juridiction de renvoi demande à la Cour d’interpréter le principe de non-discrimination en fonction de l’âge, consacré en droit primaire à l’article 21 de la charte, tel qu’il a été concrétisé par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Il y a lieu de rappeler que la Cour a reconnu l’existence d’un principe de non-discrimination en fonction de l’âge qui doit être considéré comme un principe général du droit de l’Union et qui a été concrétisé par la directive 2000/78 dans le domaine de l’emploi et du travail (voir, en ce sens, arrêt du 19 janvier 2010, Kücükdeveci, C</w:t>
      </w:r>
      <w:r>
        <w:rPr>
          <w:rFonts w:ascii="Verdana" w:hAnsi="Verdana"/>
          <w:color w:val="333333"/>
          <w:sz w:val="18"/>
          <w:szCs w:val="18"/>
        </w:rPr>
        <w:noBreakHyphen/>
        <w:t>555/07, non encore publié au Recueil, point 21). L’interdiction de toute discrimination fondée, notamment, sur l’âge est incorporée à l’article 21 de la charte qui,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2009, a la même valeur juridique que les traités.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Afin de répondre aux questions posées, il convient de vérifier si les mesures en cause au principal relèvent du champ d’application de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À cet égard, il ressort tant de l’intitulé et du préambule que du contenu et de la finalité de cette directive que celle-ci tend à établir un cadre général pour assurer à toute personne l’égalité de traitement «en matière d’emploi et de travail», en lui offrant une protection efficace contre les discriminations fondées sur l’un des motifs visés à son article 1</w:t>
      </w:r>
      <w:r>
        <w:rPr>
          <w:rFonts w:ascii="Verdana" w:hAnsi="Verdana"/>
          <w:color w:val="333333"/>
          <w:sz w:val="18"/>
          <w:szCs w:val="18"/>
          <w:vertAlign w:val="superscript"/>
        </w:rPr>
        <w:t>er</w:t>
      </w:r>
      <w:r>
        <w:rPr>
          <w:rFonts w:ascii="Verdana" w:hAnsi="Verdana"/>
          <w:color w:val="333333"/>
          <w:sz w:val="18"/>
          <w:szCs w:val="18"/>
        </w:rPr>
        <w:t>, au nombre desquels figure l’âge (voir arrêt du 12 octobre 2010, Ingeniørforeningen i Danmark, C</w:t>
      </w:r>
      <w:r>
        <w:rPr>
          <w:rFonts w:ascii="Verdana" w:hAnsi="Verdana"/>
          <w:color w:val="333333"/>
          <w:sz w:val="18"/>
          <w:szCs w:val="18"/>
        </w:rPr>
        <w:noBreakHyphen/>
        <w:t>499/08, non encore publié au Recueil, point 19).</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Il découle de l’article 3, paragraphe 1, sous c), de cette directive que celle-ci s’applique à toutes les personnes, tant pour le secteur public que pour le secteur privé, y compris les organismes publics en ce qui concerne, notamment, les conditions d’emploi et de travail, y compris les conditions de rémunération.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Il ressort des informations fournies par la juridiction de renvoi que les mesures en cause au principal régissent le système de rémunération des agents contractuels du secteur public. Ainsi, ces mesures affectent les conditions de rémunération desdits agents, au sens de l’article 3, paragraphe 1, sous c), de la directive 2000/78.</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Sur la première question dans l’affaire C</w:t>
      </w:r>
      <w:r>
        <w:rPr>
          <w:rFonts w:ascii="Verdana" w:hAnsi="Verdana"/>
          <w:i/>
          <w:iCs/>
          <w:color w:val="333333"/>
          <w:sz w:val="18"/>
          <w:szCs w:val="18"/>
        </w:rPr>
        <w:noBreakHyphen/>
        <w:t>297/10 et la question unique dans l’affaire C</w:t>
      </w:r>
      <w:r>
        <w:rPr>
          <w:rFonts w:ascii="Verdana" w:hAnsi="Verdana"/>
          <w:i/>
          <w:iCs/>
          <w:color w:val="333333"/>
          <w:sz w:val="18"/>
          <w:szCs w:val="18"/>
        </w:rPr>
        <w:noBreakHyphen/>
        <w:t>298/10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Par sa première question dans l’affaire C</w:t>
      </w:r>
      <w:r>
        <w:rPr>
          <w:rFonts w:ascii="Verdana" w:hAnsi="Verdana"/>
          <w:color w:val="333333"/>
          <w:sz w:val="18"/>
          <w:szCs w:val="18"/>
        </w:rPr>
        <w:noBreakHyphen/>
        <w:t>297/10 et sa question unique dans l’affaire C</w:t>
      </w:r>
      <w:r>
        <w:rPr>
          <w:rFonts w:ascii="Verdana" w:hAnsi="Verdana"/>
          <w:color w:val="333333"/>
          <w:sz w:val="18"/>
          <w:szCs w:val="18"/>
        </w:rPr>
        <w:noBreakHyphen/>
        <w:t>298/10, rédigées dans des termes identiques, la juridiction de renvoi cherche à savoir, en substance, si le principe de non-discrimination en fonction de l’âge consacré à l’article 21 de la charte et concrétisé par la directive 2000/78 et, plus particulièrement, les articles 2 et 6, paragraphe 1, de cette directive doivent être interprétés en ce sens qu’ils s’opposent à une mesure prévue pour une convention collective, telle que celle en cause au principal, qui prévoit que, à l’intérieur de chaque grade, l’échelon de rémunération de base d’un agent contractuel du secteur public est déterminé, lors du recrutement de cet agent, en fonction de l’âge de celui-ci. Cette juridiction se demande en outre si, pour cette interprétation, il doit être tenu compte du droit de négocier des conventions collectives affirmé à l’article 28 de la charte.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Il convient, dans un premier temps, de rechercher si la réglementation en cause au principal contient une différence de traitement fondée sur l’âge au sens de l’article 2, paragraphe 1, de la directive 2000/78. À cet égard, il y a lieu de rappeler que, aux termes de cette disposition,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ladite directive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même directive.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En l’occurrence, il ressort des informations fournies par la juridiction de renvoi que, dans le système mis en place par le BAT, la rémunération de base pour chaque emploi dépend en premier lieu du classement dans un grade. Le grade X représente le grade inférieur et le grade I le grade supérieur. Le classement dans chaque grade est effectué en fonction des caractéristiques de l’activité exercée par l’agent.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 second lieu, à l’intérieur de chaque grade, la rémunération de base de l’agent est fixée, lors de son recrutement dans ce grade, en fonction de la tranche d’âge à laquelle il appartient. Tous les deux ans, il obtient la rémunération de base correspondant à la tranche d’âge suivante jusqu’à ce qu’il ait atteint celle correspondant à la dernière tranche d’âge de son grade.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Ainsi, un agent recruté dans le grade VIb à l’âge de 21 ans sera classé au niveau de la tranche d’âge n° 21 de ce grade alors qu’un agent âgé de 27 ans recruté dans le même grade sera classé au niveau de la tranche d’âge n° 27.</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Cette règle est atténuée lorsque l’agent est recruté à une date postérieure à la fin du mois de son trente et unième anniversaire (s’il est classé dans l’un des grades III à X) ou de son trente-cinquième anniversaire (s’il est classé dans l’un des grades I à IIb). Dans ce cas, la rémunération de base est celle de la tranche d’âge calculée en déduisant de l’âge de l’agent à la date de son recrutement la moitié des années écoulées depuis qu’il a atteint l’âge de 31 ans (ou de 35 ans, selon le grade). Ainsi, un agent tel que M</w:t>
      </w:r>
      <w:r>
        <w:rPr>
          <w:rFonts w:ascii="Verdana" w:hAnsi="Verdana"/>
          <w:color w:val="333333"/>
          <w:sz w:val="18"/>
          <w:szCs w:val="18"/>
          <w:vertAlign w:val="superscript"/>
        </w:rPr>
        <w:t>me</w:t>
      </w:r>
      <w:r>
        <w:rPr>
          <w:rFonts w:ascii="Verdana" w:hAnsi="Verdana"/>
          <w:color w:val="333333"/>
          <w:sz w:val="18"/>
          <w:szCs w:val="18"/>
        </w:rPr>
        <w:t> Hennigs, qui était âgée de 41 ans lors de son recrutement dans le grade IVa, a obtenu la rémunération de base correspondant à la tranche d’âge n° 35, c’est-à-dire que la période allant de son trente et unième à son quarante et unième anniversaire n’a été prise en compte que pour moitié.</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Il apparaît donc que la rémunération de base obtenue par deux agents recrutés le même jour dans le même grade sera différente en fonction de l’âge qui était le leur au moment de ce recrutement. Il en résulte que ces deux agents sont dans une situation comparable et que l’un d’eux bénéficie d’une rémunération de base inférieure à celle obtenue par l’autre. Cet agent fait donc l’objet, en raison de son âge, d’un traitement moins favorable que celui dont bénéficie l’autre agent.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Il s’ensuit que le système de rémunération mis en place par l’article 27 du BAT, lu en combinaison avec la convention collective conclue en application du BAT n° 35, relative à la rémunération, instaure une différence de traitement directement fondée sur le critère tiré de l’âge, au sens des dispositions de l’article 2, paragraphes 1 et 2, sous a), de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lastRenderedPageBreak/>
        <w:t>60</w:t>
      </w:r>
      <w:bookmarkEnd w:id="60"/>
      <w:r>
        <w:rPr>
          <w:rFonts w:ascii="Verdana" w:hAnsi="Verdana"/>
          <w:color w:val="333333"/>
          <w:sz w:val="18"/>
          <w:szCs w:val="18"/>
        </w:rPr>
        <w:t>      Il convient, dans un second temps, d’examiner si cette différence de traitement est susceptible d’être justifiée au regard de l’article 6, paragraphe 1, de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Le premier alinéa de cette disposition énonce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de réaliser cet objectif sont appropriés et nécessaires.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À ce stade de l’examen des questions préjudicielles et ainsi que la juridiction de renvoi y invite la Cour, il convient de rechercher si le fait que le BAT est une convention collective modifie l’appréciation de la justification de la différence de traitement fondée sur l’âge prévue à l’article 27 du BAT, lu en combinaison avec la convention collective conclue en application du BAT n° 35, relative à la rémunération.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À cet égard, il ressort clairement de l’article 16, paragraphe 1, sous b), de la directive 2000/78 que les conventions collectives doivent, tout comme les dispositions législatives, réglementaires ou administratives, respecter le principe mis en œuvre par cette directive.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De même, l’article 18 de ladite directive précise que les États membres peuvent confier aux partenaires sociaux, à leur demande conjointe, la mise en œuvre de cette directive pour ce qui est des dispositions relevant des accords collectifs.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La Cour a itérativement jugé que les partenaires sociaux au niveau national peuvent, au même titre que les États membres, prévoir des mesures contenant des différences de traitement fondées sur l’âge, conformément à l’article 6, paragraphe 1, premier alinéa, de la directive 2000/78. Ils disposent, comme les États membres, d’une large marge d’appréciation dans le choix non seulement de la poursuite d’un objectif déterminé parmi d’autres en matière de politique sociale et de l’emploi mais également dans la définition des mesures susceptibles de le réaliser (voir arrêts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 68, et du 12 octobre 2010, Rosenbladt, C</w:t>
      </w:r>
      <w:r>
        <w:rPr>
          <w:rFonts w:ascii="Verdana" w:hAnsi="Verdana"/>
          <w:color w:val="333333"/>
          <w:sz w:val="18"/>
          <w:szCs w:val="18"/>
        </w:rPr>
        <w:noBreakHyphen/>
        <w:t>45/09, non encore publié au Recueil, point 41). Dans le cadre de cette marge d’appréciation, il est nécessaire que la différence de traitement fondée sur l’âge soit appropriée et nécessaire à la réalisation de cet objectif.</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La nature des mesures adoptées par voie de convention collective est différente de la nature de celles adoptées unilatéralement par voie législative ou réglementaire par les États membres en ce que les partenaires sociaux, en exerçant leur droit fondamental à la négociation collective reconnu à l’article 28 de la charte, ont eu soin de définir un équilibre entre leurs intérêts respectifs (voir, en ce sens, arrêt Rosenbladt, précité, point 67 et jurisprudence citée).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Lorsque le droit à la négociation collective proclamé à l’article 28 de la charte relève des dispositions du droit de l’Union, il doit, dans le champ d’application dudit droit, être exercé conformément à celui-ci (voir, en ce sens, arrêts du 11 décembre 2007, International Transport Workers’ Federation et Finnish Seamen’s Union, dit «Viking Line», C</w:t>
      </w:r>
      <w:r>
        <w:rPr>
          <w:rFonts w:ascii="Verdana" w:hAnsi="Verdana"/>
          <w:color w:val="333333"/>
          <w:sz w:val="18"/>
          <w:szCs w:val="18"/>
        </w:rPr>
        <w:noBreakHyphen/>
        <w:t>438/05, Rec. p. I</w:t>
      </w:r>
      <w:r>
        <w:rPr>
          <w:rFonts w:ascii="Verdana" w:hAnsi="Verdana"/>
          <w:color w:val="333333"/>
          <w:sz w:val="18"/>
          <w:szCs w:val="18"/>
        </w:rPr>
        <w:noBreakHyphen/>
        <w:t>10779, point 44, et du 18 décembre 2007, Laval un Partneri, C</w:t>
      </w:r>
      <w:r>
        <w:rPr>
          <w:rFonts w:ascii="Verdana" w:hAnsi="Verdana"/>
          <w:color w:val="333333"/>
          <w:sz w:val="18"/>
          <w:szCs w:val="18"/>
        </w:rPr>
        <w:noBreakHyphen/>
        <w:t>341/05, Rec. p. I</w:t>
      </w:r>
      <w:r>
        <w:rPr>
          <w:rFonts w:ascii="Verdana" w:hAnsi="Verdana"/>
          <w:color w:val="333333"/>
          <w:sz w:val="18"/>
          <w:szCs w:val="18"/>
        </w:rPr>
        <w:noBreakHyphen/>
        <w:t>11767, point 91).</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Dès lors, lorsqu’ils adoptent des mesures entrant dans le champ d’application de la directive 2000/78, laquelle concrétise, dans le domaine de l’emploi et du travail, le principe de non-discrimination en fonction de l’âge, les partenaires sociaux doivent agir dans le respect de cette directive (voir, en ce sens, arrêt du 27 octobre 1993, Enderby, C</w:t>
      </w:r>
      <w:r>
        <w:rPr>
          <w:rFonts w:ascii="Verdana" w:hAnsi="Verdana"/>
          <w:color w:val="333333"/>
          <w:sz w:val="18"/>
          <w:szCs w:val="18"/>
        </w:rPr>
        <w:noBreakHyphen/>
        <w:t>127/92, Rec. p. I</w:t>
      </w:r>
      <w:r>
        <w:rPr>
          <w:rFonts w:ascii="Verdana" w:hAnsi="Verdana"/>
          <w:color w:val="333333"/>
          <w:sz w:val="18"/>
          <w:szCs w:val="18"/>
        </w:rPr>
        <w:noBreakHyphen/>
        <w:t>5535, point 22).</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Pour apprécier le caractère légitime de l’objectif poursuivi par la mesure en cause au principal et le caractère approprié et nécessaire de cette mesure pour la réalisation dudit objectif, il y a lieu de relever que la juridiction de renvoi et le gouvernement allemand exposent que cette rémunération plus élevée serait justifiée par l’expérience professionnelle plus longue de l’agent et récompenserait sa fidélité à l’entreprise. Par ailleurs, selon une partie de la doctrine et des juges du fond, la rémunération de base plus élevée dont bénéficient les agents plus âgés lors de leur recrutement viendrait en compensation de leurs besoins financiers qui seraient, dans la plupart des cas, plus élevés compte tenu de leur environnement social.</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lastRenderedPageBreak/>
        <w:t>70</w:t>
      </w:r>
      <w:bookmarkEnd w:id="70"/>
      <w:r>
        <w:rPr>
          <w:rFonts w:ascii="Verdana" w:hAnsi="Verdana"/>
          <w:color w:val="333333"/>
          <w:sz w:val="18"/>
          <w:szCs w:val="18"/>
        </w:rPr>
        <w:t>      S’agissant de l’argument invoqué par le gouvernement allemand qui viserait à compenser les besoins financiers plus élevés des agents plus âgés, liés à l’environnement social de ces derniers, il convient, d’une part, de relever qu’il n’est pas démontré qu’il existe une corrélation directe entre l’âge des agents et leurs besoins financiers. Ainsi, un agent jeune peut avoir à supporter des charges de famille importantes alors qu’un agent plus âgé peut être célibataire et sans enfant à charge. D’autre part, la juridiction de renvoi a précisé que la rémunération de base des agents contractuels du secteur public est complétée par une prime dite «locale», dont le montant varie en fonction des charges familiales de l’agent.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Dans ses observations soumises à la Cour, le gouvernement allemand précise que le critère tiré de l’âge, retenu pour fixer la rémunération de base lors du recrutement, ne serait qu’une façon plus commode de constituer des catégories d’agents en tenant compte, de manière globale, de leur expérience professionnelle. Lors de la mise en place du régime résultant du BAT, il existait une relation directe entre l’âge des agents et les prestations dont ils s’acquittaient. Lorsque le recrutement a lieu après que l’agent a atteint l’âge de 31 ans (ou 35 ans), l’âge de l’agent ne détermine plus, à lui seul, la tranche d’âge de rémunération. Cela serait justifié par le fait que, à partir d’un certain moment, les personnes tardivement recrutées ne disposent pas d’une expérience professionnelle intégralement utile aux fins de l’activité qu’ils exerceront. Cette mesure remplirait donc un objectif légitime et serait appropriée et nécessaire.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Il ressort de ces observations que l’objectif mentionné tant par la juridiction de renvoi que par le gouvernement allemand consiste à vouloir établir un barème de rémunération des agents contractuels du secteur public dans le but de prendre en compte l’expérience professionnelle des agents. Cet objectif doit, en principe, être considéré comme justifiant «objectivement et raisonnablement», «dans le cadre du droit national», une différence de traitement fondée sur l’âge, au sens de l’article 6, paragraphe 1, premier alinéa, de la directive 2000/78. Il y a lieu de rappeler que la Cour a reconnu que le fait de récompenser l’expérience acquise par un travailleur, laquelle met celui-ci en mesure de mieux s’acquitter de ses prestations, constitue, en règle générale un but légitime de politique salariale (voir arrêts du 3 octobre 2006, Cadman, C</w:t>
      </w:r>
      <w:r>
        <w:rPr>
          <w:rFonts w:ascii="Verdana" w:hAnsi="Verdana"/>
          <w:color w:val="333333"/>
          <w:sz w:val="18"/>
          <w:szCs w:val="18"/>
        </w:rPr>
        <w:noBreakHyphen/>
        <w:t>17/05, Rec. p. I</w:t>
      </w:r>
      <w:r>
        <w:rPr>
          <w:rFonts w:ascii="Verdana" w:hAnsi="Verdana"/>
          <w:color w:val="333333"/>
          <w:sz w:val="18"/>
          <w:szCs w:val="18"/>
        </w:rPr>
        <w:noBreakHyphen/>
        <w:t>9583, point 34, et du 18 juin 2009, Hütter, C</w:t>
      </w:r>
      <w:r>
        <w:rPr>
          <w:rFonts w:ascii="Verdana" w:hAnsi="Verdana"/>
          <w:color w:val="333333"/>
          <w:sz w:val="18"/>
          <w:szCs w:val="18"/>
        </w:rPr>
        <w:noBreakHyphen/>
        <w:t>88/08, Rec. p. I</w:t>
      </w:r>
      <w:r>
        <w:rPr>
          <w:rFonts w:ascii="Verdana" w:hAnsi="Verdana"/>
          <w:color w:val="333333"/>
          <w:sz w:val="18"/>
          <w:szCs w:val="18"/>
        </w:rPr>
        <w:noBreakHyphen/>
        <w:t>5325, point 47). Il s’ensuit que cet objectif est «légitime» au sens de cette disposition.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Encore faut-il vérifier, selon les termes mêmes de cette disposition, si, dans le cadre de la large marge d’appréciation reconnue aux partenaires sociaux et rappelée au point 65 du présent arrêt, les moyens mis en œuvre pour réaliser cet objectif sont «appropriés et nécessaires».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La Cour a reconnu que le recours au critère tiré de l’ancienneté est, en règle générale, approprié pour atteindre cet objectif car l’ancienneté va de pair avec l’expérience professionnelle (voir, en ce sens, arrêts du 17 octobre 1989, Danfoss, 109/88, Rec. p. 3199, points 24 et 25; Cadman, précité, points 34 et 35, ainsi que Hütter, précité, point 47).</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Or, si la mesure en cause au principal permet à l’agent de gravir les échelons dans le grade auquel il appartient en fonction de l’avancement de son âge et donc de son ancienneté dans l’emploi, force est de constater que, lors de son recrutement, le classement initial à un échelon donné dans un grade donné d’un agent n’ayant aucune expérience professionnelle n’est fondé que sur son âge.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xml:space="preserve">      Ainsi, un agent sans aucune expérience professionnelle, engagé à l’âge de 30 ans dans un emploi classé dans l’un des grades III à X percevra, dès son recrutement, une rémunération de base équivalente à celle perçue par un agent ayant le même âge, occupant le même emploi, mais ayant été engagé à l’âge de 21 ans et justifiant d’une ancienneté et d’une expérience professionnelle dans son emploi de neuf années. De même, le premier agent atteindra l’échelon maximal de son grade en ayant une ancienneté et une expérience professionnelle moindres que celles acquises par le second agent engagé à l’âge de 21 ans à l’échelon de base de son grade. À ce propos, s’il est vrai que l’article 27, C, du BAT prévoit la possibilité, dans certaines conditions, de prendre en compte l’expérience professionnelle acquise par l’agent antérieurement à son engagement pour le classer à un échelon supérieur à celui qui lui aurait été normalement attribué en fonction de son âge, le gouvernement allemand a précisé à l’audience que, dans le cas contraire, l’absence d’expérience professionnelle de l’agent </w:t>
      </w:r>
      <w:r>
        <w:rPr>
          <w:rFonts w:ascii="Verdana" w:hAnsi="Verdana"/>
          <w:color w:val="333333"/>
          <w:sz w:val="18"/>
          <w:szCs w:val="18"/>
        </w:rPr>
        <w:lastRenderedPageBreak/>
        <w:t>n’entraîne pas son classement à un échelon inférieur à celui qui lui est attribué en fonction de son âge.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Il s’ensuit que la détermination en fonction de l’âge de l’échelon de rémunération de base d’un agent contractuel du secteur public lors du recrutement va au-delà de ce qui est nécessaire et approprié pour atteindre l’objectif légitime invoqué par le gouvernement allemand et consistant à prendre en compte l’expérience professionnelle acquise par l’agent antérieurement à son recrutement. À cet égard, il y a lieu de relever qu’un critère reposant également sur l’ancienneté ou l’expérience professionnelle acquise, sans faire appel à l’âge, apparaîtrait, au regard de la directive 2000/78, mieux adapté à la réalisation de l’objectif légitime susmentionné. Le fait que, pour un grand nombre d’agents engagés jeunes, l’échelon de classement correspondrait à l’expérience professionnelle acquise et que le critère tiré de l’âge se confondrait dans la plupart des cas avec leur ancienneté, ne modifie pas cette appréciation.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Il résulte de l’ensemble de ces considérations qu’il convient de répondre à la question unique dans l’affaire C</w:t>
      </w:r>
      <w:r>
        <w:rPr>
          <w:rFonts w:ascii="Verdana" w:hAnsi="Verdana"/>
          <w:color w:val="333333"/>
          <w:sz w:val="18"/>
          <w:szCs w:val="18"/>
        </w:rPr>
        <w:noBreakHyphen/>
        <w:t>298/10 et à la première question dans l’affaire C</w:t>
      </w:r>
      <w:r>
        <w:rPr>
          <w:rFonts w:ascii="Verdana" w:hAnsi="Verdana"/>
          <w:color w:val="333333"/>
          <w:sz w:val="18"/>
          <w:szCs w:val="18"/>
        </w:rPr>
        <w:noBreakHyphen/>
        <w:t>297/10 que le principe de non-discrimination en fonction de l’âge consacré à l’article 21 de la charte et concrétisé par la directive 2000/78 et, plus particulièrement, les articles 2 et 6, paragraphe 1, de cette directive doivent être interprétés en ce sens qu’ils s’opposent à une mesure prévue par une convention collective, telle que celle en cause au principal, qui prévoit que, à l’intérieur de chaque grade, l’échelon de rémunération de base d’un agent contractuel du secteur public est déterminé, lors du recrutement de cet agent, en fonction de l’âge de celui-ci. À cet égard, le fait que le droit de l’Union s’oppose à ladite mesure et que celle-ci figure dans une convention collective ne porte pas atteinte au droit de négocier et de conclure des conventions collectives reconnu à l’article 28 de la charte.</w:t>
      </w:r>
    </w:p>
    <w:p w:rsidR="00EF3D3E" w:rsidRDefault="00EF3D3E" w:rsidP="00EF3D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deuxième et troisième questions dans l’affaire C</w:t>
      </w:r>
      <w:r>
        <w:rPr>
          <w:rFonts w:ascii="Verdana" w:hAnsi="Verdana"/>
          <w:i/>
          <w:iCs/>
          <w:color w:val="333333"/>
          <w:sz w:val="18"/>
          <w:szCs w:val="18"/>
        </w:rPr>
        <w:noBreakHyphen/>
        <w:t>297/10</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Par ses deuxième et troisième questions dans l’affaire C</w:t>
      </w:r>
      <w:r>
        <w:rPr>
          <w:rFonts w:ascii="Verdana" w:hAnsi="Verdana"/>
          <w:color w:val="333333"/>
          <w:sz w:val="18"/>
          <w:szCs w:val="18"/>
        </w:rPr>
        <w:noBreakHyphen/>
        <w:t>297/10, qu’il convient d’examiner ensemble, la juridiction de renvoi se demande, en substance, si les articles 2 et 6, paragraphe 1, de la directive 2000/78, ainsi que l’article 28 de la charte, doivent être interprétés en ce sens qu’ils s’opposent à ce que les partenaires sociaux disposent d’une marge suffisante pour faire cesser la discrimination en fonction de l’âge en faisant passer les agents contractuels sous un nouveau régime conventionnel de rémunération qui se fonde sur des critères objectifs tout en maintenant, pour assurer la transition vers ledit nouveau régime conventionnel de rémunération, une inégalité de traitement entre employés d’âges différents si la discrimination qui en résulte est justifiée par la préservation des droits acquis, si celle-ci est progressivement réduite et si la seule autre solution envisageable serait de réduire la rémunération des agents plus âgés.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t>80</w:t>
      </w:r>
      <w:bookmarkEnd w:id="80"/>
      <w:r>
        <w:rPr>
          <w:rFonts w:ascii="Verdana" w:hAnsi="Verdana"/>
          <w:color w:val="333333"/>
          <w:sz w:val="18"/>
          <w:szCs w:val="18"/>
        </w:rPr>
        <w:t>      À titre liminaire, s’agissant des rapports entre la mise en œuvre du principe de non-discrimination en fonction de l’âge tel que concrétisé par la directive 2000/78 et le droit à la négociation collective reconnu à l’article 28 de la charte, il convient de renvoyer aux développements figurant aux points 62 à 68 du présent arrêt.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t>81</w:t>
      </w:r>
      <w:bookmarkEnd w:id="81"/>
      <w:r>
        <w:rPr>
          <w:rFonts w:ascii="Verdana" w:hAnsi="Verdana"/>
          <w:color w:val="333333"/>
          <w:sz w:val="18"/>
          <w:szCs w:val="18"/>
        </w:rPr>
        <w:t>      Ainsi qu’il a été précisé aux points 19 à 25 du présent arrêt, le BAT et la convention collective conclue en application du BAT n° 35, relative à la rémunération, ont été remplacés, en ce qui concerne les agents de l’État fédéral, par le TVöD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2005. Le système de rémunération mis en place par le TVöD ne prévoit plus de tranches d’âge ni de prime dite «locale», mais a instauré une rémunération unique. Celle-ci est fixée selon des critères tels que l’activité exercée, l’expérience professionnelle et la performance de l’agent. Ces deux derniers critères servent à déterminer l’échelon de rémunération à l’intérieur de chaque grade. Les dispositions transitoires pour le reclassement des agents dans le cadre du passage du système de rémunération institué par le BAT à celui résultant du TVöD ont été arrêtées par le TVÜ</w:t>
      </w:r>
      <w:r>
        <w:rPr>
          <w:rFonts w:ascii="Verdana" w:hAnsi="Verdana"/>
          <w:color w:val="333333"/>
          <w:sz w:val="18"/>
          <w:szCs w:val="18"/>
        </w:rPr>
        <w:noBreakHyphen/>
        <w:t>Bund.</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2" w:name="point82"/>
      <w:r>
        <w:rPr>
          <w:rFonts w:ascii="Verdana" w:hAnsi="Verdana"/>
          <w:color w:val="006699"/>
          <w:sz w:val="18"/>
          <w:szCs w:val="18"/>
        </w:rPr>
        <w:t>82</w:t>
      </w:r>
      <w:bookmarkEnd w:id="82"/>
      <w:r>
        <w:rPr>
          <w:rFonts w:ascii="Verdana" w:hAnsi="Verdana"/>
          <w:color w:val="333333"/>
          <w:sz w:val="18"/>
          <w:szCs w:val="18"/>
        </w:rPr>
        <w:t xml:space="preserve">      Dans le système mis en place par le TVÜ-Bund, chaque agent concerné par le reclassement a perçu une rémunération intitulée «rémunération de référence», d’un montant équivalent à sa rémunération antérieure. Cette rémunération de référence correspondait à un échelon intermédiaire individuel attribué pour une durée de deux ans. À la fin de cette période, le </w:t>
      </w:r>
      <w:r>
        <w:rPr>
          <w:rFonts w:ascii="Verdana" w:hAnsi="Verdana"/>
          <w:color w:val="333333"/>
          <w:sz w:val="18"/>
          <w:szCs w:val="18"/>
        </w:rPr>
        <w:lastRenderedPageBreak/>
        <w:t>reclassement définitif a été réalisé par le passage de l’échelon intermédiaire individuel à l’échelon normal immédiatement supérieur dans le grade concerné.</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3" w:name="point83"/>
      <w:r>
        <w:rPr>
          <w:rFonts w:ascii="Verdana" w:hAnsi="Verdana"/>
          <w:color w:val="006699"/>
          <w:sz w:val="18"/>
          <w:szCs w:val="18"/>
        </w:rPr>
        <w:t>83</w:t>
      </w:r>
      <w:bookmarkEnd w:id="83"/>
      <w:r>
        <w:rPr>
          <w:rFonts w:ascii="Verdana" w:hAnsi="Verdana"/>
          <w:color w:val="333333"/>
          <w:sz w:val="18"/>
          <w:szCs w:val="18"/>
        </w:rPr>
        <w:t>      La juridiction de renvoi cherche à savoir si le système de classement transitoire mis en place par le TVÜ</w:t>
      </w:r>
      <w:r>
        <w:rPr>
          <w:rFonts w:ascii="Verdana" w:hAnsi="Verdana"/>
          <w:color w:val="333333"/>
          <w:sz w:val="18"/>
          <w:szCs w:val="18"/>
        </w:rPr>
        <w:noBreakHyphen/>
        <w:t>Bund pour le passage du système de rémunération institué par le BAT à celui résultant du TVöD, d’une part, instaure ou perpétue une différence de traitement fondée sur l’âge et, d’autre part, serait justifié par le fait que les partenaires sociaux ont cherché à maintenir les droits acquis des agents en matière de rémunération.</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4" w:name="point84"/>
      <w:r>
        <w:rPr>
          <w:rFonts w:ascii="Verdana" w:hAnsi="Verdana"/>
          <w:color w:val="006699"/>
          <w:sz w:val="18"/>
          <w:szCs w:val="18"/>
        </w:rPr>
        <w:t>84</w:t>
      </w:r>
      <w:bookmarkEnd w:id="84"/>
      <w:r>
        <w:rPr>
          <w:rFonts w:ascii="Verdana" w:hAnsi="Verdana"/>
          <w:color w:val="333333"/>
          <w:sz w:val="18"/>
          <w:szCs w:val="18"/>
        </w:rPr>
        <w:t>      S’agissant de la question de savoir si le TVÜ</w:t>
      </w:r>
      <w:r>
        <w:rPr>
          <w:rFonts w:ascii="Verdana" w:hAnsi="Verdana"/>
          <w:color w:val="333333"/>
          <w:sz w:val="18"/>
          <w:szCs w:val="18"/>
        </w:rPr>
        <w:noBreakHyphen/>
        <w:t>Bund instaure une différence de traitement fondée sur l’âge au sens de l’article 2, paragraphes 1 et 2, de la directive 2000/78, il ressort des constatations effectuées par la juridiction de renvoi que le classement des agents dans un échelon intermédiaire individuel assurait à l’agent une rémunération de référence dont le montant était équivalent à celui qu’il percevait dans le cadre du BAT. Or, la rémunération qui était perçue en application du BAT était composée principalement de la rémunération de base qui avait été calculée, lors du recrutement, exclusivement en fonction de l’âge de l’agent. Ainsi que la Cour l’a précisé au point 59 du présent arrêt, le mode de calcul de la rémunération de base instaurait une différence de traitement directement fondée sur le critère tiré de l’âge, au sens des dispositions de l’article 2, paragraphes 1 et 2, sous a), de la directive 2000/78. En prenant comme base de fixation de la rémunération de référence la rémunération perçue antérieurement, le système mis en place par le TVÜ</w:t>
      </w:r>
      <w:r>
        <w:rPr>
          <w:rFonts w:ascii="Verdana" w:hAnsi="Verdana"/>
          <w:color w:val="333333"/>
          <w:sz w:val="18"/>
          <w:szCs w:val="18"/>
        </w:rPr>
        <w:noBreakHyphen/>
        <w:t>Bund a perpétué le fait que des agents perçoivent une rémunération moindre que celle perçue par d’autres agents alors qu’ils sont dans des situations comparables, cela uniquement en raison de l’âge qu’ils avaient lors de leur recrutement.</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5" w:name="point85"/>
      <w:r>
        <w:rPr>
          <w:rFonts w:ascii="Verdana" w:hAnsi="Verdana"/>
          <w:color w:val="006699"/>
          <w:sz w:val="18"/>
          <w:szCs w:val="18"/>
        </w:rPr>
        <w:t>85</w:t>
      </w:r>
      <w:bookmarkEnd w:id="85"/>
      <w:r>
        <w:rPr>
          <w:rFonts w:ascii="Verdana" w:hAnsi="Verdana"/>
          <w:color w:val="333333"/>
          <w:sz w:val="18"/>
          <w:szCs w:val="18"/>
        </w:rPr>
        <w:t>      Cette différence de traitement est susceptible de se perpétuer dans le cadre du TVöD puisque, selon les indications fournies par la juridiction de renvoi, le reclassement définitif a été réalisé à partir de l’échelon intermédiaire individuel attribué à chaque agent dans le cadre du TVÜ</w:t>
      </w:r>
      <w:r>
        <w:rPr>
          <w:rFonts w:ascii="Verdana" w:hAnsi="Verdana"/>
          <w:color w:val="333333"/>
          <w:sz w:val="18"/>
          <w:szCs w:val="18"/>
        </w:rPr>
        <w:noBreakHyphen/>
        <w:t>Bund.</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6" w:name="point86"/>
      <w:r>
        <w:rPr>
          <w:rFonts w:ascii="Verdana" w:hAnsi="Verdana"/>
          <w:color w:val="006699"/>
          <w:sz w:val="18"/>
          <w:szCs w:val="18"/>
        </w:rPr>
        <w:t>86</w:t>
      </w:r>
      <w:bookmarkEnd w:id="86"/>
      <w:r>
        <w:rPr>
          <w:rFonts w:ascii="Verdana" w:hAnsi="Verdana"/>
          <w:color w:val="333333"/>
          <w:sz w:val="18"/>
          <w:szCs w:val="18"/>
        </w:rPr>
        <w:t>      Il ressort de ces considérations que tant dans le cadre du TVÜ</w:t>
      </w:r>
      <w:r>
        <w:rPr>
          <w:rFonts w:ascii="Verdana" w:hAnsi="Verdana"/>
          <w:color w:val="333333"/>
          <w:sz w:val="18"/>
          <w:szCs w:val="18"/>
        </w:rPr>
        <w:noBreakHyphen/>
        <w:t>Bund que dans celui du TVöD, parmi les agents ayant été affectés par le passage du système de rémunération résultant du BAT à celui résultant du TVöD, certains perçoivent une rémunération moindre que celle perçue par d’autres alors qu’ils sont dans des situations comparables, uniquement en raison de leur âge lors de leur recrutement, ce qui constitue une discrimination directe fondée sur l’âge, au sens de l’article 2 de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7" w:name="point87"/>
      <w:r>
        <w:rPr>
          <w:rFonts w:ascii="Verdana" w:hAnsi="Verdana"/>
          <w:color w:val="006699"/>
          <w:sz w:val="18"/>
          <w:szCs w:val="18"/>
        </w:rPr>
        <w:t>87</w:t>
      </w:r>
      <w:bookmarkEnd w:id="87"/>
      <w:r>
        <w:rPr>
          <w:rFonts w:ascii="Verdana" w:hAnsi="Verdana"/>
          <w:color w:val="333333"/>
          <w:sz w:val="18"/>
          <w:szCs w:val="18"/>
        </w:rPr>
        <w:t>      Il convient donc d’examiner si cette différence de traitement fondée sur l’âge est susceptible d’être justifiée au regard de l’article 6, paragraphe 1, de cette directive.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8" w:name="point88"/>
      <w:r>
        <w:rPr>
          <w:rFonts w:ascii="Verdana" w:hAnsi="Verdana"/>
          <w:color w:val="006699"/>
          <w:sz w:val="18"/>
          <w:szCs w:val="18"/>
        </w:rPr>
        <w:t>88</w:t>
      </w:r>
      <w:bookmarkEnd w:id="88"/>
      <w:r>
        <w:rPr>
          <w:rFonts w:ascii="Verdana" w:hAnsi="Verdana"/>
          <w:color w:val="333333"/>
          <w:sz w:val="18"/>
          <w:szCs w:val="18"/>
        </w:rPr>
        <w:t>      À cet effet, il y a lieu de rechercher, au regard des principes énoncés aux point 61 et 65 du présent arrêt, si la différence de traitement fondée sur l’âge contenue dans le TVÜ</w:t>
      </w:r>
      <w:r>
        <w:rPr>
          <w:rFonts w:ascii="Verdana" w:hAnsi="Verdana"/>
          <w:color w:val="333333"/>
          <w:sz w:val="18"/>
          <w:szCs w:val="18"/>
        </w:rPr>
        <w:noBreakHyphen/>
        <w:t>Bund et, par voie de conséquence, dans le TVöD est une mesure qui poursuit un objectif légitime et qui est appropriée et nécessaire à la réalisation de cet objectif.</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89" w:name="point89"/>
      <w:r>
        <w:rPr>
          <w:rFonts w:ascii="Verdana" w:hAnsi="Verdana"/>
          <w:color w:val="006699"/>
          <w:sz w:val="18"/>
          <w:szCs w:val="18"/>
        </w:rPr>
        <w:t>89</w:t>
      </w:r>
      <w:bookmarkEnd w:id="89"/>
      <w:r>
        <w:rPr>
          <w:rFonts w:ascii="Verdana" w:hAnsi="Verdana"/>
          <w:color w:val="333333"/>
          <w:sz w:val="18"/>
          <w:szCs w:val="18"/>
        </w:rPr>
        <w:t>      S’agissant de l’objectif poursuivi par les partenaires sociaux lors de la négociation du TVöD et du TVÜ</w:t>
      </w:r>
      <w:r>
        <w:rPr>
          <w:rFonts w:ascii="Verdana" w:hAnsi="Verdana"/>
          <w:color w:val="333333"/>
          <w:sz w:val="18"/>
          <w:szCs w:val="18"/>
        </w:rPr>
        <w:noBreakHyphen/>
        <w:t>Bund, il ressort tant de la décision de renvoi que des observations du gouvernement allemand, que le reclassement des agents dans le nouveau régime conventionnel de rémunération a été effectué en s’assurant que les agents préserveraient leurs droits acquis et verraient leur rémunération antérieure maintenue.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0" w:name="point90"/>
      <w:r>
        <w:rPr>
          <w:rFonts w:ascii="Verdana" w:hAnsi="Verdana"/>
          <w:color w:val="006699"/>
          <w:sz w:val="18"/>
          <w:szCs w:val="18"/>
        </w:rPr>
        <w:t>90</w:t>
      </w:r>
      <w:bookmarkEnd w:id="90"/>
      <w:r>
        <w:rPr>
          <w:rFonts w:ascii="Verdana" w:hAnsi="Verdana"/>
          <w:color w:val="333333"/>
          <w:sz w:val="18"/>
          <w:szCs w:val="18"/>
        </w:rPr>
        <w:t>      À cet égard, dans le contexte d’une restriction à la liberté d’établissement, la Cour a jugé que la protection des droits acquis par une catégorie de personne constitue une raison impérieuse d’intérêt général justifiant cette restriction, à condition toutefois que la mesure restrictive n’aille pas au-delà de ce qui est nécessaire à cette protection (voir, en ce sens, arrêt du 6 décembre 2007, Commission/Allemagne, C</w:t>
      </w:r>
      <w:r>
        <w:rPr>
          <w:rFonts w:ascii="Verdana" w:hAnsi="Verdana"/>
          <w:color w:val="333333"/>
          <w:sz w:val="18"/>
          <w:szCs w:val="18"/>
        </w:rPr>
        <w:noBreakHyphen/>
        <w:t>456/05, Rec. p. I</w:t>
      </w:r>
      <w:r>
        <w:rPr>
          <w:rFonts w:ascii="Verdana" w:hAnsi="Verdana"/>
          <w:color w:val="333333"/>
          <w:sz w:val="18"/>
          <w:szCs w:val="18"/>
        </w:rPr>
        <w:noBreakHyphen/>
        <w:t>10517, points 63 et 65).</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1" w:name="point91"/>
      <w:r>
        <w:rPr>
          <w:rFonts w:ascii="Verdana" w:hAnsi="Verdana"/>
          <w:color w:val="006699"/>
          <w:sz w:val="18"/>
          <w:szCs w:val="18"/>
        </w:rPr>
        <w:t>91</w:t>
      </w:r>
      <w:bookmarkEnd w:id="91"/>
      <w:r>
        <w:rPr>
          <w:rFonts w:ascii="Verdana" w:hAnsi="Verdana"/>
          <w:color w:val="333333"/>
          <w:sz w:val="18"/>
          <w:szCs w:val="18"/>
        </w:rPr>
        <w:t xml:space="preserve">      Il apparaît, s’agissant des dispositions des conventions collectives en cause au principal, que les partenaires sociaux ont eu pour objectif de remplacer un régime conventionnel de rémunération fondé, en grande partie, sur l’âge et, à ce titre, discriminatoire, par un nouveau régime fondé sur des critères objectifs. Selon les informations fournies à la Cour par le </w:t>
      </w:r>
      <w:r>
        <w:rPr>
          <w:rFonts w:ascii="Verdana" w:hAnsi="Verdana"/>
          <w:color w:val="333333"/>
          <w:sz w:val="18"/>
          <w:szCs w:val="18"/>
        </w:rPr>
        <w:lastRenderedPageBreak/>
        <w:t>gouvernement allemand, si le passage du système institué par le BAT à celui résultant du TVöD s’était effectué sans mesures transitoires, 55 % des agents contractuels de l’État fédéral auraient subi une perte moyenne mensuelle de revenus de 80 euros. Afin de pallier cet inconvénient, les partenaires sociaux ont prévu le maintien des rémunérations antérieures. Selon le gouvernement allemand, l’élaboration d’un régime transitoire tendant à la protection des avantages acquis a fait partie intégrante du compromis trouvé entre les partenaires sociaux lors de la conclusion du TVöD.</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2" w:name="point92"/>
      <w:r>
        <w:rPr>
          <w:rFonts w:ascii="Verdana" w:hAnsi="Verdana"/>
          <w:color w:val="006699"/>
          <w:sz w:val="18"/>
          <w:szCs w:val="18"/>
        </w:rPr>
        <w:t>92</w:t>
      </w:r>
      <w:bookmarkEnd w:id="92"/>
      <w:r>
        <w:rPr>
          <w:rFonts w:ascii="Verdana" w:hAnsi="Verdana"/>
          <w:color w:val="333333"/>
          <w:sz w:val="18"/>
          <w:szCs w:val="18"/>
        </w:rPr>
        <w:t>      À cet égard, la Cour a jugé que le fait de laisser aux partenaires sociaux le soin de définir un équilibre entre leurs intérêts respectifs offre une flexibilité non négligeable, chacune des parties pouvant, le cas échéant, dénoncer l’accord (voir arrêts précités Palacios de la Villa, point 74, et Rosenbladt, point 67). Il apparaît donc que le maintien des rémunérations antérieures et, par voie de conséquence, celui d’un régime discriminatoire en fonction de l’âge ont eu pour objectif d’éviter des pertes de rémunérations et étaient déterminants pour permettre aux partenaires sociaux de réaliser le passage du système institué par le BAT à celui résultant du TVöD. Le régime transitoire du TVÜ</w:t>
      </w:r>
      <w:r>
        <w:rPr>
          <w:rFonts w:ascii="Verdana" w:hAnsi="Verdana"/>
          <w:color w:val="333333"/>
          <w:sz w:val="18"/>
          <w:szCs w:val="18"/>
        </w:rPr>
        <w:noBreakHyphen/>
        <w:t>Bund doit, par conséquent, être considéré comme poursuivant un objectif légitime, au sens de l’article 6, paragraphe 1, de la directive 2000/78.</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3" w:name="point93"/>
      <w:r>
        <w:rPr>
          <w:rFonts w:ascii="Verdana" w:hAnsi="Verdana"/>
          <w:color w:val="006699"/>
          <w:sz w:val="18"/>
          <w:szCs w:val="18"/>
        </w:rPr>
        <w:t>93</w:t>
      </w:r>
      <w:bookmarkEnd w:id="93"/>
      <w:r>
        <w:rPr>
          <w:rFonts w:ascii="Verdana" w:hAnsi="Verdana"/>
          <w:color w:val="333333"/>
          <w:sz w:val="18"/>
          <w:szCs w:val="18"/>
        </w:rPr>
        <w:t>      Encore faut-il vérifier, selon les termes mêmes de cette disposition, si les moyens mis en œuvre pour réaliser ces objectifs sont appropriés et nécessaires.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4" w:name="point94"/>
      <w:r>
        <w:rPr>
          <w:rFonts w:ascii="Verdana" w:hAnsi="Verdana"/>
          <w:color w:val="006699"/>
          <w:sz w:val="18"/>
          <w:szCs w:val="18"/>
        </w:rPr>
        <w:t>94</w:t>
      </w:r>
      <w:bookmarkEnd w:id="94"/>
      <w:r>
        <w:rPr>
          <w:rFonts w:ascii="Verdana" w:hAnsi="Verdana"/>
          <w:color w:val="333333"/>
          <w:sz w:val="18"/>
          <w:szCs w:val="18"/>
        </w:rPr>
        <w:t>      À cet égard, la juridiction de renvoi fait valoir que le seul moyen permettant d’éviter une réduction des rémunérations des agents était le classement à un échelon intermédiaire individuel assurant une rémunération correspondant à celle précédemment perçue.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5" w:name="point95"/>
      <w:r>
        <w:rPr>
          <w:rFonts w:ascii="Verdana" w:hAnsi="Verdana"/>
          <w:color w:val="006699"/>
          <w:sz w:val="18"/>
          <w:szCs w:val="18"/>
        </w:rPr>
        <w:t>95</w:t>
      </w:r>
      <w:bookmarkEnd w:id="95"/>
      <w:r>
        <w:rPr>
          <w:rFonts w:ascii="Verdana" w:hAnsi="Verdana"/>
          <w:color w:val="333333"/>
          <w:sz w:val="18"/>
          <w:szCs w:val="18"/>
        </w:rPr>
        <w:t>      Il y a lieu de relever que le système de reclassement des agents mis en œuvre par le TVöD et le TVÜ-Bund ne concerne que les agents déjà en place.</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6" w:name="point96"/>
      <w:r>
        <w:rPr>
          <w:rFonts w:ascii="Verdana" w:hAnsi="Verdana"/>
          <w:color w:val="006699"/>
          <w:sz w:val="18"/>
          <w:szCs w:val="18"/>
        </w:rPr>
        <w:t>96</w:t>
      </w:r>
      <w:bookmarkEnd w:id="96"/>
      <w:r>
        <w:rPr>
          <w:rFonts w:ascii="Verdana" w:hAnsi="Verdana"/>
          <w:color w:val="333333"/>
          <w:sz w:val="18"/>
          <w:szCs w:val="18"/>
        </w:rPr>
        <w:t>      Par ailleurs, à la suite du reclassement définitif, la rémunération des agents évoluera en fonction des seuls critères prévus par le TVöD, au rang desquels l’âge ne figure pas. Il en résulte que les effets discriminatoires ont vocation à disparaître au fur et à mesure de l’évolution de la rémunération des agents.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7" w:name="point97"/>
      <w:r>
        <w:rPr>
          <w:rFonts w:ascii="Verdana" w:hAnsi="Verdana"/>
          <w:color w:val="006699"/>
          <w:sz w:val="18"/>
          <w:szCs w:val="18"/>
        </w:rPr>
        <w:t>97</w:t>
      </w:r>
      <w:bookmarkEnd w:id="97"/>
      <w:r>
        <w:rPr>
          <w:rFonts w:ascii="Verdana" w:hAnsi="Verdana"/>
          <w:color w:val="333333"/>
          <w:sz w:val="18"/>
          <w:szCs w:val="18"/>
        </w:rPr>
        <w:t>      Par son caractère transitoire et limité dans le temps, cette situation se distingue de celle ayant donné lieu à l’arrêt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2011, Association belge des Consommateurs Test-Achats e.a. (C</w:t>
      </w:r>
      <w:r>
        <w:rPr>
          <w:rFonts w:ascii="Verdana" w:hAnsi="Verdana"/>
          <w:color w:val="333333"/>
          <w:sz w:val="18"/>
          <w:szCs w:val="18"/>
        </w:rPr>
        <w:noBreakHyphen/>
        <w:t>236/09, non encore publié au Recueil, point 32), dans lequel la Cour a jugé qu’une possibilité de déroger, sans limitation dans le temps, au principe de non-discrimination en raison du sexe, était contraire à la réalisation de l’objectif d’égalité entre les femmes et les hommes.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8" w:name="point98"/>
      <w:r>
        <w:rPr>
          <w:rFonts w:ascii="Verdana" w:hAnsi="Verdana"/>
          <w:color w:val="006699"/>
          <w:sz w:val="18"/>
          <w:szCs w:val="18"/>
        </w:rPr>
        <w:t>98</w:t>
      </w:r>
      <w:bookmarkEnd w:id="98"/>
      <w:r>
        <w:rPr>
          <w:rFonts w:ascii="Verdana" w:hAnsi="Verdana"/>
          <w:color w:val="333333"/>
          <w:sz w:val="18"/>
          <w:szCs w:val="18"/>
        </w:rPr>
        <w:t>      Il apparaît donc qu’il n’était pas déraisonnable, pour les partenaires sociaux, d’adopter les mesures transitoires mises en place par le TVÜ</w:t>
      </w:r>
      <w:r>
        <w:rPr>
          <w:rFonts w:ascii="Verdana" w:hAnsi="Verdana"/>
          <w:color w:val="333333"/>
          <w:sz w:val="18"/>
          <w:szCs w:val="18"/>
        </w:rPr>
        <w:noBreakHyphen/>
        <w:t>Bund et que celles-ci sont appropriées pour éviter une perte de revenus aux agents contractuels de l’État fédéral et qu’elles ne vont pas au-delà de ce qui est nécessaire pour atteindre cet objectif, compte tenu de la large marge d’appréciation reconnue aux partenaires sociaux dans le domaine de la fixation des rémunérations.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99" w:name="point99"/>
      <w:r>
        <w:rPr>
          <w:rFonts w:ascii="Verdana" w:hAnsi="Verdana"/>
          <w:color w:val="006699"/>
          <w:sz w:val="18"/>
          <w:szCs w:val="18"/>
        </w:rPr>
        <w:t>99</w:t>
      </w:r>
      <w:bookmarkEnd w:id="99"/>
      <w:r>
        <w:rPr>
          <w:rFonts w:ascii="Verdana" w:hAnsi="Verdana"/>
          <w:color w:val="333333"/>
          <w:sz w:val="18"/>
          <w:szCs w:val="18"/>
        </w:rPr>
        <w:t>      Il résulte de ces considérations qu’il convient de répondre aux deuxième et troisième questions dans l’affaire C</w:t>
      </w:r>
      <w:r>
        <w:rPr>
          <w:rFonts w:ascii="Verdana" w:hAnsi="Verdana"/>
          <w:color w:val="333333"/>
          <w:sz w:val="18"/>
          <w:szCs w:val="18"/>
        </w:rPr>
        <w:noBreakHyphen/>
        <w:t>297/10 que les articles 2 et 6, paragraphe 1, de la directive 2000/78 ainsi que l’article 28 de la charte doivent être interprétés en ce sens qu’ils ne s’opposent pas à une mesure prévue par une convention collective, telle que celle en cause au principal, qui remplace un régime de rémunération instaurant une discrimination en fonction de l’âge par un régime de rémunération fondé sur des critères objectifs, tout en maintenant, pour une période transitoire et limitée dans le temps, certains des effets discriminatoires du premier de ces régimes afin d’assurer aux agents en place la transition vers le nouveau régime sans qu’ils aient à subir une perte de revenus.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00" w:name="point100"/>
      <w:r>
        <w:rPr>
          <w:rFonts w:ascii="Verdana" w:hAnsi="Verdana"/>
          <w:color w:val="006699"/>
          <w:sz w:val="18"/>
          <w:szCs w:val="18"/>
        </w:rPr>
        <w:t>100</w:t>
      </w:r>
      <w:bookmarkEnd w:id="100"/>
      <w:r>
        <w:rPr>
          <w:rFonts w:ascii="Verdana" w:hAnsi="Verdana"/>
          <w:color w:val="333333"/>
          <w:sz w:val="18"/>
          <w:szCs w:val="18"/>
        </w:rPr>
        <w:t>    Compte tenu de la réponse apportée aux deuxième et troisième questions, il n’y a pas lieu de répondre aux autres questions posées.</w:t>
      </w:r>
    </w:p>
    <w:p w:rsidR="00EF3D3E" w:rsidRDefault="00EF3D3E" w:rsidP="00EF3D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EF3D3E" w:rsidRDefault="00EF3D3E" w:rsidP="00EF3D3E">
      <w:pPr>
        <w:pStyle w:val="c01pointnumerotealtn"/>
        <w:shd w:val="clear" w:color="auto" w:fill="FFFFFF"/>
        <w:spacing w:after="240" w:afterAutospacing="0"/>
        <w:ind w:left="567" w:hanging="539"/>
        <w:jc w:val="both"/>
        <w:rPr>
          <w:rFonts w:ascii="Verdana" w:hAnsi="Verdana"/>
          <w:color w:val="333333"/>
          <w:sz w:val="18"/>
          <w:szCs w:val="18"/>
        </w:rPr>
      </w:pPr>
      <w:bookmarkStart w:id="101" w:name="point101"/>
      <w:r>
        <w:rPr>
          <w:rFonts w:ascii="Verdana" w:hAnsi="Verdana"/>
          <w:color w:val="006699"/>
          <w:sz w:val="18"/>
          <w:szCs w:val="18"/>
        </w:rPr>
        <w:t>101</w:t>
      </w:r>
      <w:bookmarkEnd w:id="10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F3D3E" w:rsidRDefault="00EF3D3E" w:rsidP="00EF3D3E">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EF3D3E" w:rsidRDefault="00EF3D3E" w:rsidP="00EF3D3E">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principe de non-discrimination en fonction de l’âge consacré à l’article 21 de la charte des droits fondamentaux de l’Union européenne et concrétisé par la directive 2000/78/CE du Conseil, du 27 novembre 2000, portant création d’un cadre général en faveur de l’égalité de traitement en matière d’emploi et de travail, et, plus particulièrement, les articles 2 et 6, paragraphe 1, de cette directive doivent être interprétés en ce sens qu’ils s’opposent à une mesure prévue par une convention collective, telle que celle en cause au principal, qui prévoit que, à l’intérieur de chaque grade, l’échelon de rémunération de base d’un agent contractuel du secteur public est déterminé, lors du recrutement de cet agent, en fonction de l’âge de celui-ci. À cet égard, le fait que le droit de l’Union s’oppose à ladite mesure et que celle-ci figure dans une convention collective ne porte pas atteinte au droit de négocier et de conclure des conventions collectives reconnu à l’article 28 de la charte des droits fondamentaux de l’Union européenne.</w:t>
      </w:r>
    </w:p>
    <w:p w:rsidR="00EF3D3E" w:rsidRDefault="00EF3D3E" w:rsidP="00EF3D3E">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Les articles 2 et 6, paragraphe 1, de la directive 2000/78 ainsi que l’article 28 de la charte des droits fondamentaux de l’Union européenne doivent être interprétés en ce sens qu’ils ne s’opposent pas à une mesure prévue par une convention collective, telle que celle en cause au principal dans l’affaire C</w:t>
      </w:r>
      <w:r>
        <w:rPr>
          <w:rFonts w:ascii="Verdana" w:hAnsi="Verdana"/>
          <w:b/>
          <w:bCs/>
          <w:color w:val="333333"/>
          <w:sz w:val="18"/>
          <w:szCs w:val="18"/>
        </w:rPr>
        <w:noBreakHyphen/>
        <w:t>297/10, qui remplace un régime de rémunération instaurant une discrimination en fonction de l’âge par un régime de rémunération fondé sur des critères objectifs, tout en maintenant, pour une période transitoire et limitée dans le temps, certains des effets discriminatoires du premier de ces régimes afin d’assurer aux agents en place la transition vers le nouveau régime sans qu’ils aient à subir une perte de revenus.</w:t>
      </w:r>
    </w:p>
    <w:p w:rsidR="00EF3D3E" w:rsidRDefault="00EF3D3E" w:rsidP="00EF3D3E">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102" w:name="_GoBack"/>
      <w:bookmarkEnd w:id="102"/>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3E"/>
    <w:rsid w:val="00097E4A"/>
    <w:rsid w:val="00EF3D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C3412-D8C8-4C0B-A5D7-448D1B7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F3D3E"/>
    <w:rPr>
      <w:color w:val="0000FF"/>
      <w:u w:val="single"/>
    </w:rPr>
  </w:style>
  <w:style w:type="paragraph" w:customStyle="1" w:styleId="c71indicateur">
    <w:name w:val="c71indicateur"/>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EF3D3E"/>
  </w:style>
  <w:style w:type="paragraph" w:customStyle="1" w:styleId="c03tiretlong">
    <w:name w:val="c03tiretlong"/>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7titre4">
    <w:name w:val="c07titre4"/>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EF3D3E"/>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9343</Words>
  <Characters>51388</Characters>
  <Application>Microsoft Office Word</Application>
  <DocSecurity>0</DocSecurity>
  <Lines>428</Lines>
  <Paragraphs>121</Paragraphs>
  <ScaleCrop>false</ScaleCrop>
  <Company/>
  <LinksUpToDate>false</LinksUpToDate>
  <CharactersWithSpaces>60610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2015-03-02T13:33:00Z</dcterms:created>
  <dcterms:modified xsi:type="dcterms:W3CDTF">2015-03-02T13:33:00Z</dcterms:modified>
</cp:coreProperties>
</file>